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05471">
      <w:r w:rsidRPr="00B05471">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547F63" w:rsidRPr="00547F63" w:rsidRDefault="00547F63" w:rsidP="004D3814">
                  <w:pPr>
                    <w:jc w:val="right"/>
                    <w:rPr>
                      <w:rFonts w:ascii="Segoe UI" w:hAnsi="Segoe UI" w:cs="Segoe UI"/>
                      <w:b/>
                      <w:sz w:val="56"/>
                      <w:szCs w:val="72"/>
                      <w:u w:val="single"/>
                    </w:rPr>
                  </w:pPr>
                  <w:r w:rsidRPr="00547F63">
                    <w:rPr>
                      <w:rFonts w:ascii="Segoe UI" w:hAnsi="Segoe UI" w:cs="Segoe UI"/>
                      <w:b/>
                      <w:sz w:val="56"/>
                      <w:szCs w:val="72"/>
                      <w:u w:val="single"/>
                    </w:rPr>
                    <w:t>Harrogate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B05471"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B05471"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B05471"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B05471"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B05471"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773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446</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57.7</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324</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41.9</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714</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402</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56.3</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309</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43.3</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694</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383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55.2</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306</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44.1</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14669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2842</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19.4</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11761</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80.2</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14612</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2806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11751</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14478</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2789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19.3</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11606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80.2</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83</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107</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14.0</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15.9</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11.5</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16.7</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71.9</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97</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11.3</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16.5</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72.2</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773</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654</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12.1</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502</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0.5</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714</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619</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506</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694</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567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463</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446</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370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11.9</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271</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73.2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0.5</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402</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341</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277</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0.9</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383</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258</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324</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281</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11.7</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230</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81.9</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309</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276</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12.7</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229</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83.0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306</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247</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13.4</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205</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83.0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2.4</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EB0850" w:rsidRPr="001E3375"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66.7</w:t>
            </w:r>
          </w:p>
        </w:tc>
        <w:tc>
          <w:tcPr>
            <w:tcW w:w="108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E5E01" w:rsidRPr="001E3375" w:rsidTr="005E5E0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rPr>
                <w:rFonts w:ascii="Tahoma" w:hAnsi="Tahoma" w:cs="Tahoma"/>
                <w:sz w:val="16"/>
              </w:rPr>
            </w:pPr>
            <w:r w:rsidRPr="005E5E01">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E5E01" w:rsidRPr="001E3375" w:rsidTr="005E5E0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rPr>
                <w:rFonts w:ascii="Tahoma" w:hAnsi="Tahoma" w:cs="Tahoma"/>
                <w:sz w:val="16"/>
              </w:rPr>
            </w:pPr>
            <w:r w:rsidRPr="005E5E01">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0F2179" w:rsidRPr="00D73878" w:rsidTr="000F217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5904</w:t>
            </w:r>
          </w:p>
        </w:tc>
        <w:tc>
          <w:tcPr>
            <w:tcW w:w="89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49.6</w:t>
            </w:r>
          </w:p>
        </w:tc>
        <w:tc>
          <w:tcPr>
            <w:tcW w:w="80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98.0</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50.4</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71.1</w:t>
            </w:r>
          </w:p>
        </w:tc>
        <w:tc>
          <w:tcPr>
            <w:tcW w:w="260" w:type="dxa"/>
            <w:tcBorders>
              <w:top w:val="nil"/>
              <w:left w:val="nil"/>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42.4</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27.2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29.5</w:t>
            </w:r>
          </w:p>
        </w:tc>
        <w:tc>
          <w:tcPr>
            <w:tcW w:w="260" w:type="dxa"/>
            <w:tcBorders>
              <w:top w:val="nil"/>
              <w:left w:val="nil"/>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0F2179" w:rsidRPr="002C04E1" w:rsidTr="000F2179">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25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79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28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0.28</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0.24</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0.32</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0.23</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c>
          <w:tcPr>
            <w:tcW w:w="104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0.27</w:t>
            </w:r>
          </w:p>
        </w:tc>
        <w:tc>
          <w:tcPr>
            <w:tcW w:w="25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0.02</w:t>
            </w:r>
          </w:p>
        </w:tc>
        <w:tc>
          <w:tcPr>
            <w:tcW w:w="9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0F2179" w:rsidRPr="00A627EC" w:rsidTr="000F2179">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20"/>
              </w:rPr>
            </w:pPr>
            <w:r w:rsidRPr="000F2179">
              <w:rPr>
                <w:rFonts w:ascii="Tahoma" w:hAnsi="Tahoma" w:cs="Tahoma"/>
                <w:sz w:val="20"/>
              </w:rPr>
              <w:t>North Yorkshire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61.6</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63.2</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65.6</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65.4</w:t>
            </w:r>
          </w:p>
        </w:tc>
        <w:tc>
          <w:tcPr>
            <w:tcW w:w="127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61.0</w:t>
            </w:r>
          </w:p>
        </w:tc>
        <w:tc>
          <w:tcPr>
            <w:tcW w:w="127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62.4</w:t>
            </w:r>
          </w:p>
        </w:tc>
        <w:tc>
          <w:tcPr>
            <w:tcW w:w="128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0F2179">
      <w:pPr>
        <w:rPr>
          <w:rFonts w:ascii="Segoe UI" w:hAnsi="Segoe UI" w:cs="Segoe UI"/>
          <w:i/>
          <w:noProof/>
          <w:lang w:eastAsia="en-GB"/>
        </w:rPr>
      </w:pPr>
      <w:r w:rsidRPr="000F2179">
        <w:rPr>
          <w:rFonts w:ascii="Segoe UI" w:hAnsi="Segoe UI" w:cs="Segoe UI"/>
          <w:noProof/>
          <w:lang w:eastAsia="en-GB"/>
        </w:rPr>
        <w:lastRenderedPageBreak/>
        <w:drawing>
          <wp:inline distT="0" distB="0" distL="0" distR="0">
            <wp:extent cx="8728843" cy="6018028"/>
            <wp:effectExtent l="19050" t="0" r="15107" b="1772"/>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0F2179" w:rsidRPr="00CB3C06" w:rsidTr="000F2179">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41</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0F2179" w:rsidRPr="004171CC" w:rsidTr="000F2179">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2.6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0F2179" w:rsidRPr="00E72F60" w:rsidTr="000F2179">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5715</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183</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49.8</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0F2179" w:rsidRPr="00B1068B" w:rsidTr="000F2179">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5562</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0.82</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0.62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1.02</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0F2179" w:rsidRPr="00D3494B" w:rsidTr="000F2179">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370</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5534</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50.7</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0F2179" w:rsidRPr="00A23984" w:rsidTr="000F2179">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365</w:t>
            </w:r>
          </w:p>
        </w:tc>
        <w:tc>
          <w:tcPr>
            <w:tcW w:w="9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5349</w:t>
            </w:r>
          </w:p>
        </w:tc>
        <w:tc>
          <w:tcPr>
            <w:tcW w:w="92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-0.57</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-0.70</w:t>
            </w:r>
          </w:p>
        </w:tc>
        <w:tc>
          <w:tcPr>
            <w:tcW w:w="9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0.19</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0.25</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0.20</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0F2179" w:rsidRPr="0007774B" w:rsidTr="000F2179">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913</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4991</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8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35.5</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52.1</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0F2179" w:rsidRPr="000C2D63" w:rsidTr="000F2179">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900</w:t>
            </w:r>
          </w:p>
        </w:tc>
        <w:tc>
          <w:tcPr>
            <w:tcW w:w="93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4814</w:t>
            </w:r>
          </w:p>
        </w:tc>
        <w:tc>
          <w:tcPr>
            <w:tcW w:w="77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-0.48</w:t>
            </w:r>
          </w:p>
        </w:tc>
        <w:tc>
          <w:tcPr>
            <w:tcW w:w="9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0.29</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0.26</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0.33</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0F2179" w:rsidRPr="00253D3E" w:rsidTr="000F2179">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5390</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366</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148</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51.7</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31.5</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14.9</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0F2179">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0F2179">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0F2179" w:rsidRPr="006D3019" w:rsidTr="000F2179">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5215</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356</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143</w:t>
            </w:r>
          </w:p>
        </w:tc>
        <w:tc>
          <w:tcPr>
            <w:tcW w:w="74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-0.23</w:t>
            </w:r>
          </w:p>
        </w:tc>
        <w:tc>
          <w:tcPr>
            <w:tcW w:w="84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-0.94</w:t>
            </w:r>
          </w:p>
        </w:tc>
        <w:tc>
          <w:tcPr>
            <w:tcW w:w="74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0.19</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-0.36</w:t>
            </w:r>
          </w:p>
        </w:tc>
        <w:tc>
          <w:tcPr>
            <w:tcW w:w="85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-1.15</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0.26</w:t>
            </w:r>
          </w:p>
        </w:tc>
        <w:tc>
          <w:tcPr>
            <w:tcW w:w="71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-0.74</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r>
      <w:tr w:rsidR="00280DFE" w:rsidRPr="006D3019" w:rsidTr="000F2179">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lastRenderedPageBreak/>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3605BD" w:rsidRPr="00DB1785" w:rsidTr="003605BD">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3605BD" w:rsidRPr="00275776"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3605BD" w:rsidRPr="00972312"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306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305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3605BD" w:rsidRPr="001E7A1D"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3605BD" w:rsidRPr="00EF1E22"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3605BD" w:rsidRPr="00BE2AA3"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5D2336" w:rsidRPr="00632517" w:rsidTr="005D2336">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18%</w:t>
            </w:r>
          </w:p>
        </w:tc>
        <w:tc>
          <w:tcPr>
            <w:tcW w:w="109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D2336" w:rsidRPr="004F3D22" w:rsidTr="005D2336">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15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45%</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13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D2336" w:rsidRPr="00CC157F" w:rsidTr="005D2336">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20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21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09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42%</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5D2336" w:rsidRPr="008F518C" w:rsidTr="005D2336">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6%</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547F63" w:rsidRPr="00633740" w:rsidTr="00BA4B67">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F63" w:rsidRPr="00BA4B67" w:rsidRDefault="00547F63" w:rsidP="00BA4B67">
            <w:pPr>
              <w:spacing w:after="100" w:afterAutospacing="1"/>
              <w:rPr>
                <w:rFonts w:ascii="Tahoma" w:hAnsi="Tahoma" w:cs="Tahoma"/>
                <w:sz w:val="18"/>
              </w:rPr>
            </w:pPr>
            <w:r w:rsidRPr="00BA4B67">
              <w:rPr>
                <w:rFonts w:ascii="Tahoma" w:hAnsi="Tahoma" w:cs="Tahoma"/>
                <w:sz w:val="18"/>
              </w:rPr>
              <w:t>Harrogate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47F63" w:rsidRPr="00BA4B67" w:rsidRDefault="00547F63" w:rsidP="00BA4B67">
            <w:pPr>
              <w:spacing w:after="100" w:afterAutospacing="1"/>
              <w:jc w:val="right"/>
              <w:rPr>
                <w:rFonts w:ascii="Tahoma" w:hAnsi="Tahoma" w:cs="Tahoma"/>
                <w:sz w:val="18"/>
              </w:rPr>
            </w:pPr>
            <w:r w:rsidRPr="00BA4B67">
              <w:rPr>
                <w:rFonts w:ascii="Tahoma" w:hAnsi="Tahoma" w:cs="Tahoma"/>
                <w:sz w:val="18"/>
              </w:rPr>
              <w:t>33.0</w:t>
            </w:r>
          </w:p>
        </w:tc>
        <w:tc>
          <w:tcPr>
            <w:tcW w:w="1985" w:type="dxa"/>
            <w:tcBorders>
              <w:top w:val="nil"/>
              <w:left w:val="nil"/>
              <w:bottom w:val="single" w:sz="4" w:space="0" w:color="auto"/>
              <w:right w:val="single" w:sz="4" w:space="0" w:color="auto"/>
            </w:tcBorders>
            <w:shd w:val="clear" w:color="auto" w:fill="auto"/>
            <w:noWrap/>
            <w:vAlign w:val="bottom"/>
            <w:hideMark/>
          </w:tcPr>
          <w:p w:rsidR="00547F63" w:rsidRPr="00BA4B67" w:rsidRDefault="00547F63" w:rsidP="00BA4B67">
            <w:pPr>
              <w:spacing w:after="100" w:afterAutospacing="1"/>
              <w:jc w:val="right"/>
              <w:rPr>
                <w:rFonts w:ascii="Tahoma" w:hAnsi="Tahoma" w:cs="Tahoma"/>
                <w:sz w:val="18"/>
              </w:rPr>
            </w:pPr>
            <w:r w:rsidRPr="00BA4B67">
              <w:rPr>
                <w:rFonts w:ascii="Tahoma" w:hAnsi="Tahoma" w:cs="Tahoma"/>
                <w:sz w:val="18"/>
              </w:rPr>
              <w:t>42.5</w:t>
            </w:r>
          </w:p>
        </w:tc>
        <w:tc>
          <w:tcPr>
            <w:tcW w:w="1984" w:type="dxa"/>
            <w:tcBorders>
              <w:top w:val="nil"/>
              <w:left w:val="nil"/>
              <w:bottom w:val="single" w:sz="4" w:space="0" w:color="auto"/>
              <w:right w:val="single" w:sz="4" w:space="0" w:color="auto"/>
            </w:tcBorders>
            <w:shd w:val="clear" w:color="auto" w:fill="auto"/>
            <w:noWrap/>
            <w:vAlign w:val="bottom"/>
            <w:hideMark/>
          </w:tcPr>
          <w:p w:rsidR="00547F63" w:rsidRPr="00BA4B67" w:rsidRDefault="00547F63" w:rsidP="00BA4B67">
            <w:pPr>
              <w:spacing w:after="100" w:afterAutospacing="1"/>
              <w:jc w:val="right"/>
              <w:rPr>
                <w:rFonts w:ascii="Tahoma" w:hAnsi="Tahoma" w:cs="Tahoma"/>
                <w:sz w:val="18"/>
              </w:rPr>
            </w:pPr>
            <w:r w:rsidRPr="00BA4B67">
              <w:rPr>
                <w:rFonts w:ascii="Tahoma" w:hAnsi="Tahoma" w:cs="Tahoma"/>
                <w:sz w:val="18"/>
              </w:rPr>
              <w:t>69.7</w:t>
            </w:r>
          </w:p>
        </w:tc>
        <w:tc>
          <w:tcPr>
            <w:tcW w:w="1985" w:type="dxa"/>
            <w:tcBorders>
              <w:top w:val="nil"/>
              <w:left w:val="nil"/>
              <w:bottom w:val="single" w:sz="4" w:space="0" w:color="auto"/>
              <w:right w:val="single" w:sz="4" w:space="0" w:color="auto"/>
            </w:tcBorders>
            <w:shd w:val="clear" w:color="auto" w:fill="auto"/>
            <w:noWrap/>
            <w:vAlign w:val="bottom"/>
            <w:hideMark/>
          </w:tcPr>
          <w:p w:rsidR="00547F63" w:rsidRPr="00BA4B67" w:rsidRDefault="00547F63" w:rsidP="00BA4B67">
            <w:pPr>
              <w:spacing w:after="100" w:afterAutospacing="1"/>
              <w:jc w:val="right"/>
              <w:rPr>
                <w:rFonts w:ascii="Tahoma" w:hAnsi="Tahoma" w:cs="Tahoma"/>
                <w:sz w:val="18"/>
              </w:rPr>
            </w:pPr>
            <w:r w:rsidRPr="00BA4B67">
              <w:rPr>
                <w:rFonts w:ascii="Tahoma" w:hAnsi="Tahoma" w:cs="Tahoma"/>
                <w:sz w:val="18"/>
              </w:rPr>
              <w:t>78.8</w:t>
            </w:r>
          </w:p>
        </w:tc>
        <w:tc>
          <w:tcPr>
            <w:tcW w:w="1984" w:type="dxa"/>
            <w:tcBorders>
              <w:top w:val="nil"/>
              <w:left w:val="nil"/>
              <w:bottom w:val="single" w:sz="4" w:space="0" w:color="auto"/>
              <w:right w:val="single" w:sz="4" w:space="0" w:color="auto"/>
            </w:tcBorders>
            <w:shd w:val="clear" w:color="auto" w:fill="auto"/>
            <w:noWrap/>
            <w:vAlign w:val="bottom"/>
            <w:hideMark/>
          </w:tcPr>
          <w:p w:rsidR="00547F63" w:rsidRPr="00BA4B67" w:rsidRDefault="00547F63" w:rsidP="00BA4B67">
            <w:pPr>
              <w:spacing w:after="100" w:afterAutospacing="1"/>
              <w:jc w:val="right"/>
              <w:rPr>
                <w:rFonts w:ascii="Tahoma" w:hAnsi="Tahoma" w:cs="Tahoma"/>
                <w:sz w:val="18"/>
              </w:rPr>
            </w:pPr>
            <w:r w:rsidRPr="00BA4B67">
              <w:rPr>
                <w:rFonts w:ascii="Tahoma" w:hAnsi="Tahoma" w:cs="Tahoma"/>
                <w:sz w:val="18"/>
              </w:rPr>
              <w:t>10.4</w:t>
            </w:r>
          </w:p>
        </w:tc>
        <w:tc>
          <w:tcPr>
            <w:tcW w:w="1985" w:type="dxa"/>
            <w:tcBorders>
              <w:top w:val="nil"/>
              <w:left w:val="nil"/>
              <w:bottom w:val="single" w:sz="4" w:space="0" w:color="auto"/>
              <w:right w:val="single" w:sz="4" w:space="0" w:color="auto"/>
            </w:tcBorders>
            <w:shd w:val="clear" w:color="auto" w:fill="auto"/>
            <w:noWrap/>
            <w:vAlign w:val="bottom"/>
            <w:hideMark/>
          </w:tcPr>
          <w:p w:rsidR="00547F63" w:rsidRPr="00BA4B67" w:rsidRDefault="00547F63" w:rsidP="00BA4B67">
            <w:pPr>
              <w:spacing w:after="100" w:afterAutospacing="1"/>
              <w:jc w:val="right"/>
              <w:rPr>
                <w:rFonts w:ascii="Tahoma" w:hAnsi="Tahoma" w:cs="Tahoma"/>
                <w:sz w:val="18"/>
              </w:rPr>
            </w:pPr>
            <w:r w:rsidRPr="00BA4B67">
              <w:rPr>
                <w:rFonts w:ascii="Tahoma" w:hAnsi="Tahoma" w:cs="Tahoma"/>
                <w:sz w:val="18"/>
              </w:rPr>
              <w:t>5.6</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BA4B67" w:rsidRPr="00FE74B2" w:rsidTr="00BA4B67">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B67" w:rsidRPr="00BA4B67" w:rsidRDefault="00BA4B67" w:rsidP="00BA4B67">
            <w:pPr>
              <w:spacing w:after="100" w:afterAutospacing="1"/>
              <w:rPr>
                <w:rFonts w:ascii="Tahoma" w:eastAsia="Arial Unicode MS" w:hAnsi="Tahoma" w:cs="Tahoma"/>
                <w:sz w:val="18"/>
              </w:rPr>
            </w:pPr>
            <w:r w:rsidRPr="00BA4B67">
              <w:rPr>
                <w:rFonts w:ascii="Tahoma" w:eastAsia="Arial Unicode MS" w:hAnsi="Tahoma" w:cs="Tahoma"/>
                <w:sz w:val="18"/>
              </w:rPr>
              <w:t>Harrogate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BA4B67" w:rsidRPr="00BA4B67" w:rsidRDefault="00BA4B67" w:rsidP="00BA4B67">
            <w:pPr>
              <w:spacing w:after="100" w:afterAutospacing="1"/>
              <w:jc w:val="right"/>
              <w:rPr>
                <w:rFonts w:ascii="Tahoma" w:eastAsia="Arial Unicode MS" w:hAnsi="Tahoma" w:cs="Tahoma"/>
                <w:sz w:val="18"/>
              </w:rPr>
            </w:pPr>
            <w:r w:rsidRPr="00BA4B67">
              <w:rPr>
                <w:rFonts w:ascii="Tahoma" w:eastAsia="Arial Unicode MS" w:hAnsi="Tahoma" w:cs="Tahoma"/>
                <w:sz w:val="18"/>
              </w:rPr>
              <w:t>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A4B67" w:rsidRPr="00BA4B67" w:rsidRDefault="00BA4B67" w:rsidP="00BA4B67">
            <w:pPr>
              <w:spacing w:after="100" w:afterAutospacing="1"/>
              <w:jc w:val="right"/>
              <w:rPr>
                <w:rFonts w:ascii="Tahoma" w:eastAsia="Arial Unicode MS" w:hAnsi="Tahoma" w:cs="Tahoma"/>
                <w:sz w:val="18"/>
              </w:rPr>
            </w:pPr>
            <w:r w:rsidRPr="00BA4B67">
              <w:rPr>
                <w:rFonts w:ascii="Tahoma" w:eastAsia="Arial Unicode MS" w:hAnsi="Tahoma" w:cs="Tahoma"/>
                <w:sz w:val="18"/>
              </w:rPr>
              <w:t>17.5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A4B67" w:rsidRPr="00BA4B67" w:rsidRDefault="00BA4B67" w:rsidP="00BA4B67">
            <w:pPr>
              <w:spacing w:after="100" w:afterAutospacing="1"/>
              <w:jc w:val="right"/>
              <w:rPr>
                <w:rFonts w:ascii="Tahoma" w:eastAsia="Arial Unicode MS" w:hAnsi="Tahoma" w:cs="Tahoma"/>
                <w:sz w:val="18"/>
              </w:rPr>
            </w:pPr>
            <w:r w:rsidRPr="00BA4B67">
              <w:rPr>
                <w:rFonts w:ascii="Tahoma" w:eastAsia="Arial Unicode MS" w:hAnsi="Tahoma" w:cs="Tahoma"/>
                <w:sz w:val="18"/>
              </w:rPr>
              <w:t>14.8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A4B67" w:rsidRPr="00BA4B67" w:rsidRDefault="00BA4B67" w:rsidP="00BA4B67">
            <w:pPr>
              <w:spacing w:after="100" w:afterAutospacing="1"/>
              <w:jc w:val="right"/>
              <w:rPr>
                <w:rFonts w:ascii="Tahoma" w:eastAsia="Arial Unicode MS" w:hAnsi="Tahoma" w:cs="Tahoma"/>
                <w:sz w:val="18"/>
              </w:rPr>
            </w:pPr>
            <w:r w:rsidRPr="00BA4B67">
              <w:rPr>
                <w:rFonts w:ascii="Tahoma" w:eastAsia="Arial Unicode MS" w:hAnsi="Tahoma" w:cs="Tahoma"/>
                <w:sz w:val="18"/>
              </w:rPr>
              <w:t>11.4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A4B67" w:rsidRPr="00BA4B67" w:rsidRDefault="00BA4B67" w:rsidP="00BA4B67">
            <w:pPr>
              <w:spacing w:after="100" w:afterAutospacing="1"/>
              <w:jc w:val="right"/>
              <w:rPr>
                <w:rFonts w:ascii="Tahoma" w:eastAsia="Arial Unicode MS" w:hAnsi="Tahoma" w:cs="Tahoma"/>
                <w:sz w:val="18"/>
              </w:rPr>
            </w:pPr>
            <w:r w:rsidRPr="00BA4B67">
              <w:rPr>
                <w:rFonts w:ascii="Tahoma" w:eastAsia="Arial Unicode MS" w:hAnsi="Tahoma" w:cs="Tahoma"/>
                <w:sz w:val="18"/>
              </w:rPr>
              <w:t>12.1</w:t>
            </w:r>
          </w:p>
        </w:tc>
        <w:tc>
          <w:tcPr>
            <w:tcW w:w="1559" w:type="dxa"/>
            <w:tcBorders>
              <w:top w:val="single" w:sz="4" w:space="0" w:color="auto"/>
              <w:left w:val="nil"/>
              <w:bottom w:val="single" w:sz="4" w:space="0" w:color="auto"/>
              <w:right w:val="single" w:sz="4" w:space="0" w:color="auto"/>
            </w:tcBorders>
            <w:vAlign w:val="bottom"/>
          </w:tcPr>
          <w:p w:rsidR="00BA4B67" w:rsidRPr="00BA4B67" w:rsidRDefault="00BA4B67" w:rsidP="00BA4B67">
            <w:pPr>
              <w:spacing w:after="100" w:afterAutospacing="1"/>
              <w:jc w:val="right"/>
              <w:rPr>
                <w:rFonts w:ascii="Tahoma" w:eastAsia="Arial Unicode MS" w:hAnsi="Tahoma" w:cs="Tahoma"/>
                <w:sz w:val="18"/>
              </w:rPr>
            </w:pPr>
            <w:r w:rsidRPr="00BA4B67">
              <w:rPr>
                <w:rFonts w:ascii="Tahoma" w:eastAsia="Arial Unicode MS" w:hAnsi="Tahoma" w:cs="Tahoma"/>
                <w:sz w:val="18"/>
              </w:rPr>
              <w:t>7.9</w:t>
            </w:r>
          </w:p>
        </w:tc>
        <w:tc>
          <w:tcPr>
            <w:tcW w:w="1560" w:type="dxa"/>
            <w:tcBorders>
              <w:top w:val="single" w:sz="4" w:space="0" w:color="auto"/>
              <w:left w:val="nil"/>
              <w:bottom w:val="single" w:sz="4" w:space="0" w:color="auto"/>
              <w:right w:val="single" w:sz="4" w:space="0" w:color="auto"/>
            </w:tcBorders>
            <w:vAlign w:val="bottom"/>
          </w:tcPr>
          <w:p w:rsidR="00BA4B67" w:rsidRPr="00BA4B67" w:rsidRDefault="00BA4B67" w:rsidP="00BA4B67">
            <w:pPr>
              <w:spacing w:after="100" w:afterAutospacing="1"/>
              <w:jc w:val="right"/>
              <w:rPr>
                <w:rFonts w:ascii="Tahoma" w:eastAsia="Arial Unicode MS" w:hAnsi="Tahoma" w:cs="Tahoma"/>
                <w:sz w:val="18"/>
              </w:rPr>
            </w:pPr>
            <w:r w:rsidRPr="00BA4B67">
              <w:rPr>
                <w:rFonts w:ascii="Tahoma" w:eastAsia="Arial Unicode MS" w:hAnsi="Tahoma" w:cs="Tahoma"/>
                <w:sz w:val="18"/>
              </w:rPr>
              <w:t>8.6</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4AE0"/>
    <w:rsid w:val="0004365F"/>
    <w:rsid w:val="00046CF6"/>
    <w:rsid w:val="000549D5"/>
    <w:rsid w:val="00054C2A"/>
    <w:rsid w:val="00057D91"/>
    <w:rsid w:val="0007159C"/>
    <w:rsid w:val="00075447"/>
    <w:rsid w:val="0007774B"/>
    <w:rsid w:val="00095244"/>
    <w:rsid w:val="000A253B"/>
    <w:rsid w:val="000B410A"/>
    <w:rsid w:val="000C2D63"/>
    <w:rsid w:val="000D1137"/>
    <w:rsid w:val="000D7426"/>
    <w:rsid w:val="000E01A4"/>
    <w:rsid w:val="000E0225"/>
    <w:rsid w:val="000F2179"/>
    <w:rsid w:val="00107987"/>
    <w:rsid w:val="00111193"/>
    <w:rsid w:val="00112EF3"/>
    <w:rsid w:val="00123766"/>
    <w:rsid w:val="001267BA"/>
    <w:rsid w:val="00137983"/>
    <w:rsid w:val="00153631"/>
    <w:rsid w:val="001577A3"/>
    <w:rsid w:val="00163203"/>
    <w:rsid w:val="00163DF2"/>
    <w:rsid w:val="00171608"/>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54BDA"/>
    <w:rsid w:val="003605BD"/>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25C2C"/>
    <w:rsid w:val="00545A25"/>
    <w:rsid w:val="0054613A"/>
    <w:rsid w:val="00547F63"/>
    <w:rsid w:val="00555F9F"/>
    <w:rsid w:val="00557B7F"/>
    <w:rsid w:val="0057388A"/>
    <w:rsid w:val="00573CB1"/>
    <w:rsid w:val="00575E1E"/>
    <w:rsid w:val="00580CBC"/>
    <w:rsid w:val="0058447F"/>
    <w:rsid w:val="00587D4E"/>
    <w:rsid w:val="00592352"/>
    <w:rsid w:val="005A3848"/>
    <w:rsid w:val="005B3FA2"/>
    <w:rsid w:val="005C33B2"/>
    <w:rsid w:val="005D2262"/>
    <w:rsid w:val="005D2336"/>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81952"/>
    <w:rsid w:val="00783471"/>
    <w:rsid w:val="00785722"/>
    <w:rsid w:val="00786635"/>
    <w:rsid w:val="00787F09"/>
    <w:rsid w:val="007A38A0"/>
    <w:rsid w:val="007B5629"/>
    <w:rsid w:val="007C196F"/>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6727"/>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68D6"/>
    <w:rsid w:val="00AE0605"/>
    <w:rsid w:val="00AE3362"/>
    <w:rsid w:val="00AF0048"/>
    <w:rsid w:val="00AF42D2"/>
    <w:rsid w:val="00B05471"/>
    <w:rsid w:val="00B1068B"/>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A4B67"/>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0FE"/>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5214"/>
    <w:rsid w:val="00F7542E"/>
    <w:rsid w:val="00F8009A"/>
    <w:rsid w:val="00F87C0F"/>
    <w:rsid w:val="00F97AC5"/>
    <w:rsid w:val="00FA341B"/>
    <w:rsid w:val="00FA49E0"/>
    <w:rsid w:val="00FA7924"/>
    <w:rsid w:val="00FB14BD"/>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71022976"/>
        <c:axId val="171028864"/>
      </c:barChart>
      <c:lineChart>
        <c:grouping val="standard"/>
        <c:ser>
          <c:idx val="0"/>
          <c:order val="0"/>
          <c:tx>
            <c:strRef>
              <c:f>'5+ GCSEs'!$E$213</c:f>
              <c:strCache>
                <c:ptCount val="1"/>
                <c:pt idx="0">
                  <c:v>North Yorkshire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61.6</c:v>
                </c:pt>
                <c:pt idx="1">
                  <c:v>63.2</c:v>
                </c:pt>
                <c:pt idx="2">
                  <c:v>65.599999999999994</c:v>
                </c:pt>
                <c:pt idx="3">
                  <c:v>65.400000000000006</c:v>
                </c:pt>
                <c:pt idx="4">
                  <c:v>61</c:v>
                </c:pt>
                <c:pt idx="5">
                  <c:v>62.4</c:v>
                </c:pt>
                <c:pt idx="6">
                  <c:v>61.6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71022976"/>
        <c:axId val="171028864"/>
      </c:lineChart>
      <c:catAx>
        <c:axId val="171022976"/>
        <c:scaling>
          <c:orientation val="minMax"/>
        </c:scaling>
        <c:axPos val="b"/>
        <c:tickLblPos val="nextTo"/>
        <c:txPr>
          <a:bodyPr/>
          <a:lstStyle/>
          <a:p>
            <a:pPr>
              <a:defRPr sz="900"/>
            </a:pPr>
            <a:endParaRPr lang="en-US"/>
          </a:p>
        </c:txPr>
        <c:crossAx val="171028864"/>
        <c:crosses val="autoZero"/>
        <c:auto val="1"/>
        <c:lblAlgn val="ctr"/>
        <c:lblOffset val="100"/>
      </c:catAx>
      <c:valAx>
        <c:axId val="171028864"/>
        <c:scaling>
          <c:orientation val="minMax"/>
        </c:scaling>
        <c:axPos val="l"/>
        <c:majorGridlines/>
        <c:title>
          <c:tx>
            <c:rich>
              <a:bodyPr rot="0" vert="horz"/>
              <a:lstStyle/>
              <a:p>
                <a:pPr>
                  <a:defRPr/>
                </a:pPr>
                <a:r>
                  <a:rPr lang="en-US"/>
                  <a:t>%</a:t>
                </a:r>
              </a:p>
            </c:rich>
          </c:tx>
          <c:layout/>
        </c:title>
        <c:numFmt formatCode="0.0" sourceLinked="1"/>
        <c:tickLblPos val="nextTo"/>
        <c:crossAx val="17102297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North Yorkshire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0.12000000000000001</c:v>
                </c:pt>
                <c:pt idx="2">
                  <c:v>0.15000000000000002</c:v>
                </c:pt>
                <c:pt idx="3">
                  <c:v>0.14000000000000001</c:v>
                </c:pt>
                <c:pt idx="4">
                  <c:v>0.15000000000000002</c:v>
                </c:pt>
                <c:pt idx="5">
                  <c:v>0.11</c:v>
                </c:pt>
                <c:pt idx="6">
                  <c:v>0.16</c:v>
                </c:pt>
                <c:pt idx="7">
                  <c:v>0.18000000000000002</c:v>
                </c:pt>
                <c:pt idx="8">
                  <c:v>0.16</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8694656"/>
        <c:axId val="138696192"/>
      </c:lineChart>
      <c:catAx>
        <c:axId val="138694656"/>
        <c:scaling>
          <c:orientation val="minMax"/>
        </c:scaling>
        <c:axPos val="b"/>
        <c:tickLblPos val="nextTo"/>
        <c:txPr>
          <a:bodyPr/>
          <a:lstStyle/>
          <a:p>
            <a:pPr>
              <a:defRPr sz="800"/>
            </a:pPr>
            <a:endParaRPr lang="en-US"/>
          </a:p>
        </c:txPr>
        <c:crossAx val="138696192"/>
        <c:crosses val="autoZero"/>
        <c:auto val="1"/>
        <c:lblAlgn val="ctr"/>
        <c:lblOffset val="100"/>
      </c:catAx>
      <c:valAx>
        <c:axId val="138696192"/>
        <c:scaling>
          <c:orientation val="minMax"/>
        </c:scaling>
        <c:axPos val="l"/>
        <c:majorGridlines/>
        <c:numFmt formatCode="0%" sourceLinked="1"/>
        <c:tickLblPos val="nextTo"/>
        <c:crossAx val="13869465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North Yorkshire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0.37000000000000005</c:v>
                </c:pt>
                <c:pt idx="1">
                  <c:v>0.4</c:v>
                </c:pt>
                <c:pt idx="2">
                  <c:v>0.4</c:v>
                </c:pt>
                <c:pt idx="3">
                  <c:v>0.4</c:v>
                </c:pt>
                <c:pt idx="4">
                  <c:v>0.41000000000000003</c:v>
                </c:pt>
                <c:pt idx="5">
                  <c:v>0.43000000000000005</c:v>
                </c:pt>
                <c:pt idx="6">
                  <c:v>0.45</c:v>
                </c:pt>
                <c:pt idx="7">
                  <c:v>0.43000000000000005</c:v>
                </c:pt>
                <c:pt idx="8">
                  <c:v>0.45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8728192"/>
        <c:axId val="138729728"/>
      </c:lineChart>
      <c:catAx>
        <c:axId val="138728192"/>
        <c:scaling>
          <c:orientation val="minMax"/>
        </c:scaling>
        <c:axPos val="b"/>
        <c:tickLblPos val="nextTo"/>
        <c:txPr>
          <a:bodyPr/>
          <a:lstStyle/>
          <a:p>
            <a:pPr>
              <a:defRPr sz="800"/>
            </a:pPr>
            <a:endParaRPr lang="en-US"/>
          </a:p>
        </c:txPr>
        <c:crossAx val="138729728"/>
        <c:crosses val="autoZero"/>
        <c:auto val="1"/>
        <c:lblAlgn val="ctr"/>
        <c:lblOffset val="100"/>
      </c:catAx>
      <c:valAx>
        <c:axId val="138729728"/>
        <c:scaling>
          <c:orientation val="minMax"/>
        </c:scaling>
        <c:axPos val="l"/>
        <c:majorGridlines/>
        <c:numFmt formatCode="0%" sourceLinked="1"/>
        <c:tickLblPos val="nextTo"/>
        <c:crossAx val="13872819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North Yorkshire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0.36000000000000004</c:v>
                </c:pt>
                <c:pt idx="1">
                  <c:v>0.38000000000000006</c:v>
                </c:pt>
                <c:pt idx="2">
                  <c:v>0.39000000000000007</c:v>
                </c:pt>
                <c:pt idx="3">
                  <c:v>0.39000000000000007</c:v>
                </c:pt>
                <c:pt idx="4">
                  <c:v>0.39000000000000007</c:v>
                </c:pt>
                <c:pt idx="5">
                  <c:v>0.41000000000000003</c:v>
                </c:pt>
                <c:pt idx="6">
                  <c:v>0.43000000000000005</c:v>
                </c:pt>
                <c:pt idx="7">
                  <c:v>0.41000000000000003</c:v>
                </c:pt>
                <c:pt idx="8">
                  <c:v>0.42000000000000004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70694144"/>
        <c:axId val="170695680"/>
      </c:lineChart>
      <c:catAx>
        <c:axId val="170694144"/>
        <c:scaling>
          <c:orientation val="minMax"/>
        </c:scaling>
        <c:axPos val="b"/>
        <c:tickLblPos val="nextTo"/>
        <c:txPr>
          <a:bodyPr/>
          <a:lstStyle/>
          <a:p>
            <a:pPr>
              <a:defRPr sz="800"/>
            </a:pPr>
            <a:endParaRPr lang="en-US"/>
          </a:p>
        </c:txPr>
        <c:crossAx val="170695680"/>
        <c:crosses val="autoZero"/>
        <c:auto val="1"/>
        <c:lblAlgn val="ctr"/>
        <c:lblOffset val="100"/>
      </c:catAx>
      <c:valAx>
        <c:axId val="170695680"/>
        <c:scaling>
          <c:orientation val="minMax"/>
        </c:scaling>
        <c:axPos val="l"/>
        <c:majorGridlines/>
        <c:numFmt formatCode="0%" sourceLinked="1"/>
        <c:tickLblPos val="nextTo"/>
        <c:crossAx val="17069414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2EACC-7DFE-4841-BB2A-15FE895F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9766</Words>
  <Characters>55672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65308</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2018-10-09T09:52:00Z</dcterms:created>
  <dcterms:modified xsi:type="dcterms:W3CDTF">2018-10-09T09:57:00Z</dcterms:modified>
</cp:coreProperties>
</file>